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11F3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6197D96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44A1CCD1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13A75718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DFA59EE" w14:textId="77777777" w:rsid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4D4640B7" w14:textId="6B3F1364" w:rsidR="00E964C2" w:rsidRDefault="00C7239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E964C2">
        <w:rPr>
          <w:rFonts w:ascii="Arial" w:hAnsi="Arial" w:cs="Arial"/>
          <w:b/>
          <w:sz w:val="72"/>
          <w:szCs w:val="72"/>
        </w:rPr>
        <w:t xml:space="preserve">ACCP </w:t>
      </w:r>
      <w:r w:rsidR="00F47D20">
        <w:rPr>
          <w:rFonts w:ascii="Arial" w:hAnsi="Arial" w:cs="Arial"/>
          <w:b/>
          <w:sz w:val="72"/>
          <w:szCs w:val="72"/>
        </w:rPr>
        <w:t>Pulmonary</w:t>
      </w:r>
      <w:r w:rsidRPr="00E964C2">
        <w:rPr>
          <w:rFonts w:ascii="Arial" w:hAnsi="Arial" w:cs="Arial"/>
          <w:b/>
          <w:sz w:val="72"/>
          <w:szCs w:val="72"/>
        </w:rPr>
        <w:t xml:space="preserve"> </w:t>
      </w:r>
      <w:r w:rsidR="00FC3F3D">
        <w:rPr>
          <w:rFonts w:ascii="Arial" w:hAnsi="Arial" w:cs="Arial"/>
          <w:b/>
          <w:sz w:val="72"/>
          <w:szCs w:val="72"/>
        </w:rPr>
        <w:t>Practice &amp; Research Network (PRN)</w:t>
      </w:r>
      <w:r w:rsidRPr="00E964C2">
        <w:rPr>
          <w:rFonts w:ascii="Arial" w:hAnsi="Arial" w:cs="Arial"/>
          <w:b/>
          <w:sz w:val="72"/>
          <w:szCs w:val="72"/>
        </w:rPr>
        <w:t xml:space="preserve"> </w:t>
      </w:r>
    </w:p>
    <w:p w14:paraId="7A869949" w14:textId="77777777" w:rsidR="00E964C2" w:rsidRPr="00E964C2" w:rsidRDefault="00E964C2" w:rsidP="00C72392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14:paraId="3B087AA9" w14:textId="4EE95DCA" w:rsidR="00E964C2" w:rsidRPr="00E964C2" w:rsidRDefault="00503691" w:rsidP="00C7239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Workforce &amp; Strategic</w:t>
      </w:r>
      <w:r w:rsidR="00C72392" w:rsidRPr="00E964C2">
        <w:rPr>
          <w:rFonts w:ascii="Arial" w:hAnsi="Arial" w:cs="Arial"/>
          <w:b/>
          <w:sz w:val="52"/>
          <w:szCs w:val="52"/>
        </w:rPr>
        <w:t xml:space="preserve"> Committee </w:t>
      </w:r>
    </w:p>
    <w:p w14:paraId="2C2D0657" w14:textId="6BBE5474" w:rsidR="00637B87" w:rsidRDefault="00637B87" w:rsidP="00C7239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14:paraId="60968F54" w14:textId="68284661" w:rsidR="006659A3" w:rsidRDefault="006659A3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11085E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C9041B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EF93E9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6A65792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69B90B" w14:textId="77777777" w:rsidR="008B33D7" w:rsidRDefault="008B33D7" w:rsidP="00C723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3"/>
        <w:gridCol w:w="4854"/>
        <w:gridCol w:w="2093"/>
      </w:tblGrid>
      <w:tr w:rsidR="00B378B9" w14:paraId="4CEC0EB3" w14:textId="77777777" w:rsidTr="00B378B9">
        <w:tc>
          <w:tcPr>
            <w:tcW w:w="2403" w:type="dxa"/>
          </w:tcPr>
          <w:p w14:paraId="1B8BD9AB" w14:textId="77777777" w:rsidR="00B378B9" w:rsidRDefault="00B378B9" w:rsidP="00863943"/>
        </w:tc>
        <w:tc>
          <w:tcPr>
            <w:tcW w:w="6947" w:type="dxa"/>
            <w:gridSpan w:val="2"/>
          </w:tcPr>
          <w:p w14:paraId="357556D7" w14:textId="77777777" w:rsidR="00B378B9" w:rsidRPr="009159E0" w:rsidRDefault="00B378B9" w:rsidP="00863943">
            <w:pPr>
              <w:rPr>
                <w:b/>
              </w:rPr>
            </w:pPr>
            <w:r w:rsidRPr="009159E0">
              <w:rPr>
                <w:b/>
              </w:rPr>
              <w:t>Title:</w:t>
            </w:r>
          </w:p>
          <w:p w14:paraId="0483BCBB" w14:textId="79D8398C" w:rsidR="00B378B9" w:rsidRDefault="00B378B9" w:rsidP="00863943">
            <w:r>
              <w:t>Workforce Committee Standard Operating Procedures</w:t>
            </w:r>
            <w:r w:rsidR="00FC3F3D">
              <w:t xml:space="preserve"> (SOP)</w:t>
            </w:r>
          </w:p>
        </w:tc>
      </w:tr>
      <w:tr w:rsidR="00F508F9" w14:paraId="600FC87B" w14:textId="77777777" w:rsidTr="00B378B9">
        <w:tc>
          <w:tcPr>
            <w:tcW w:w="2403" w:type="dxa"/>
          </w:tcPr>
          <w:p w14:paraId="16FCCEC8" w14:textId="77777777" w:rsidR="00F508F9" w:rsidRPr="009159E0" w:rsidRDefault="00F508F9" w:rsidP="00863943">
            <w:pPr>
              <w:rPr>
                <w:b/>
              </w:rPr>
            </w:pPr>
            <w:r w:rsidRPr="009159E0">
              <w:rPr>
                <w:b/>
              </w:rPr>
              <w:t>Revision Number:</w:t>
            </w:r>
          </w:p>
          <w:p w14:paraId="7B959BC1" w14:textId="77777777" w:rsidR="00F508F9" w:rsidRDefault="00F508F9" w:rsidP="00863943">
            <w:r>
              <w:t>Version 1.0</w:t>
            </w:r>
          </w:p>
        </w:tc>
        <w:tc>
          <w:tcPr>
            <w:tcW w:w="4854" w:type="dxa"/>
          </w:tcPr>
          <w:p w14:paraId="358537CB" w14:textId="77777777" w:rsidR="00F508F9" w:rsidRDefault="00F508F9" w:rsidP="00863943">
            <w:r>
              <w:rPr>
                <w:b/>
              </w:rPr>
              <w:t>Prepared by:</w:t>
            </w:r>
          </w:p>
          <w:p w14:paraId="52BA4A2D" w14:textId="77777777" w:rsidR="00F508F9" w:rsidRPr="009159E0" w:rsidRDefault="00F508F9" w:rsidP="00863943">
            <w:r>
              <w:t>2020-2021 Workforce &amp; Strategic Committee</w:t>
            </w:r>
          </w:p>
        </w:tc>
        <w:tc>
          <w:tcPr>
            <w:tcW w:w="2093" w:type="dxa"/>
          </w:tcPr>
          <w:p w14:paraId="4FBC7B9C" w14:textId="77777777" w:rsidR="00F508F9" w:rsidRDefault="00F508F9" w:rsidP="00863943">
            <w:r>
              <w:rPr>
                <w:b/>
              </w:rPr>
              <w:t>Date Prepared:</w:t>
            </w:r>
          </w:p>
          <w:p w14:paraId="0CDEF2A8" w14:textId="77777777" w:rsidR="00F508F9" w:rsidRPr="009159E0" w:rsidRDefault="00F508F9" w:rsidP="00863943">
            <w:r>
              <w:t>March 2021</w:t>
            </w:r>
          </w:p>
        </w:tc>
      </w:tr>
      <w:tr w:rsidR="00F508F9" w14:paraId="34412AD9" w14:textId="77777777" w:rsidTr="00B378B9">
        <w:tc>
          <w:tcPr>
            <w:tcW w:w="2403" w:type="dxa"/>
          </w:tcPr>
          <w:p w14:paraId="588B1264" w14:textId="77777777" w:rsidR="00F508F9" w:rsidRPr="009159E0" w:rsidRDefault="00F508F9" w:rsidP="00863943">
            <w:pPr>
              <w:rPr>
                <w:b/>
              </w:rPr>
            </w:pPr>
            <w:r w:rsidRPr="009159E0">
              <w:rPr>
                <w:b/>
              </w:rPr>
              <w:t>Effective Date:</w:t>
            </w:r>
          </w:p>
          <w:p w14:paraId="6A4D5BE5" w14:textId="77777777" w:rsidR="00F508F9" w:rsidRDefault="00F508F9" w:rsidP="00863943">
            <w:r>
              <w:t>March 2021</w:t>
            </w:r>
          </w:p>
        </w:tc>
        <w:tc>
          <w:tcPr>
            <w:tcW w:w="4854" w:type="dxa"/>
          </w:tcPr>
          <w:p w14:paraId="34CB4AAA" w14:textId="77777777" w:rsidR="00F508F9" w:rsidRDefault="00F508F9" w:rsidP="00863943">
            <w:r>
              <w:rPr>
                <w:b/>
              </w:rPr>
              <w:t>Approved by</w:t>
            </w:r>
            <w:r>
              <w:t>:</w:t>
            </w:r>
          </w:p>
          <w:p w14:paraId="75FC39DD" w14:textId="77777777" w:rsidR="00F508F9" w:rsidRPr="009159E0" w:rsidRDefault="00F508F9" w:rsidP="00863943">
            <w:r>
              <w:t>2020-2021 Pulmonary PRN Officers</w:t>
            </w:r>
          </w:p>
        </w:tc>
        <w:tc>
          <w:tcPr>
            <w:tcW w:w="2093" w:type="dxa"/>
          </w:tcPr>
          <w:p w14:paraId="6844D8E1" w14:textId="77777777" w:rsidR="00F508F9" w:rsidRDefault="00F508F9" w:rsidP="00863943"/>
        </w:tc>
      </w:tr>
    </w:tbl>
    <w:p w14:paraId="5658F3C6" w14:textId="77777777" w:rsidR="00C72392" w:rsidRPr="00202A76" w:rsidRDefault="00C72392" w:rsidP="00C72392">
      <w:pPr>
        <w:spacing w:after="0" w:line="240" w:lineRule="auto"/>
        <w:rPr>
          <w:rFonts w:ascii="Arial" w:hAnsi="Arial" w:cs="Arial"/>
        </w:rPr>
      </w:pPr>
    </w:p>
    <w:p w14:paraId="797C01B3" w14:textId="0C10EE51" w:rsidR="00E964C2" w:rsidRDefault="00E964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DA0263" w14:textId="547F0DF3" w:rsidR="009B527F" w:rsidRPr="009B527F" w:rsidRDefault="009B527F" w:rsidP="009B527F">
      <w:pPr>
        <w:pStyle w:val="BodyText"/>
        <w:tabs>
          <w:tab w:val="left" w:pos="822"/>
        </w:tabs>
        <w:ind w:left="0" w:right="431" w:firstLine="0"/>
        <w:rPr>
          <w:b/>
        </w:rPr>
      </w:pPr>
      <w:r>
        <w:rPr>
          <w:b/>
        </w:rPr>
        <w:lastRenderedPageBreak/>
        <w:t xml:space="preserve">Charges </w:t>
      </w:r>
    </w:p>
    <w:p w14:paraId="1E6B131B" w14:textId="14447D6D" w:rsidR="009B527F" w:rsidRPr="00FC3F3D" w:rsidRDefault="00BC06ED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t>Increase membership</w:t>
      </w:r>
    </w:p>
    <w:p w14:paraId="69834C91" w14:textId="03975BF8" w:rsidR="000B720E" w:rsidRPr="00BC06ED" w:rsidRDefault="000B720E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 nominations for officers (e.g. vice chair, secretary-treasurer, etc.)</w:t>
      </w:r>
    </w:p>
    <w:p w14:paraId="3408C2C6" w14:textId="77777777" w:rsidR="00B378B9" w:rsidRDefault="00B378B9" w:rsidP="00B378B9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maintain awards within the PRN</w:t>
      </w:r>
    </w:p>
    <w:p w14:paraId="40F029D9" w14:textId="52F012F1" w:rsidR="00BC06ED" w:rsidRDefault="00BC06ED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Nominate PRN members for ACCP </w:t>
      </w:r>
      <w:r w:rsidR="00B378B9">
        <w:rPr>
          <w:rFonts w:asciiTheme="minorHAnsi" w:hAnsiTheme="minorHAnsi" w:cstheme="minorHAnsi"/>
        </w:rPr>
        <w:t xml:space="preserve">and PRN </w:t>
      </w:r>
      <w:r>
        <w:rPr>
          <w:rFonts w:asciiTheme="minorHAnsi" w:hAnsiTheme="minorHAnsi" w:cstheme="minorHAnsi"/>
        </w:rPr>
        <w:t>awards</w:t>
      </w:r>
    </w:p>
    <w:p w14:paraId="252D51D1" w14:textId="2B4D2A22" w:rsidR="00BC06ED" w:rsidRDefault="00BC06ED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the PRN’s presence on social media (e.g. Twitter, Facebook, Instagram, etc.)</w:t>
      </w:r>
    </w:p>
    <w:p w14:paraId="555D8D99" w14:textId="06CD3044" w:rsidR="00BC06ED" w:rsidRDefault="00BC06ED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and maintain</w:t>
      </w:r>
      <w:r w:rsidR="00B378B9">
        <w:rPr>
          <w:rFonts w:asciiTheme="minorHAnsi" w:hAnsiTheme="minorHAnsi" w:cstheme="minorHAnsi"/>
        </w:rPr>
        <w:t xml:space="preserve"> PRN documents and policies related to the Workforce &amp; Strategic Committee (i.e. this SOP, travel awards, social media policies, etc.)</w:t>
      </w:r>
    </w:p>
    <w:p w14:paraId="08C14546" w14:textId="69D7C36D" w:rsidR="00C835BF" w:rsidRDefault="000B720E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Coordinate </w:t>
      </w:r>
      <w:r w:rsidR="00FC3F3D">
        <w:rPr>
          <w:rFonts w:asciiTheme="minorHAnsi" w:hAnsiTheme="minorHAnsi" w:cstheme="minorHAnsi"/>
        </w:rPr>
        <w:t>(including submission of forms or documents to ACCP) the PRN’s business meeting at the ACCP Annual Meeting</w:t>
      </w:r>
    </w:p>
    <w:p w14:paraId="4E70E066" w14:textId="01EE8CA2" w:rsidR="000B720E" w:rsidRPr="009B527F" w:rsidRDefault="000B720E" w:rsidP="009B527F">
      <w:pPr>
        <w:pStyle w:val="BodyText"/>
        <w:numPr>
          <w:ilvl w:val="0"/>
          <w:numId w:val="33"/>
        </w:numPr>
        <w:tabs>
          <w:tab w:val="left" w:pos="822"/>
        </w:tabs>
        <w:ind w:right="4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and submit the bi-annual PRN report</w:t>
      </w:r>
    </w:p>
    <w:p w14:paraId="3FE40FE0" w14:textId="77777777" w:rsidR="009B527F" w:rsidRP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</w:p>
    <w:p w14:paraId="2B41CCAF" w14:textId="299E9E3F" w:rsidR="009B527F" w:rsidRDefault="009B527F" w:rsidP="009B527F">
      <w:pPr>
        <w:spacing w:after="0" w:line="240" w:lineRule="auto"/>
        <w:contextualSpacing/>
        <w:rPr>
          <w:rFonts w:cstheme="minorHAnsi"/>
          <w:b/>
          <w:bCs/>
        </w:rPr>
      </w:pPr>
    </w:p>
    <w:p w14:paraId="171FD672" w14:textId="77777777" w:rsidR="009B527F" w:rsidRDefault="009B527F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5798191" w14:textId="5D587D64" w:rsidR="007F3E9E" w:rsidRDefault="00B378B9" w:rsidP="009B527F">
      <w:p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lastRenderedPageBreak/>
        <w:t>Timeline for Charges</w:t>
      </w:r>
    </w:p>
    <w:p w14:paraId="26CF402E" w14:textId="77DDF495" w:rsidR="00B378B9" w:rsidRDefault="00B378B9" w:rsidP="009B527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378B9" w14:paraId="1F2CFD5B" w14:textId="77777777" w:rsidTr="00B378B9">
        <w:tc>
          <w:tcPr>
            <w:tcW w:w="1975" w:type="dxa"/>
          </w:tcPr>
          <w:p w14:paraId="3344A643" w14:textId="50410FEC" w:rsidR="00B378B9" w:rsidRPr="00B378B9" w:rsidRDefault="00B378B9" w:rsidP="009B52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Month</w:t>
            </w:r>
            <w:r w:rsidR="00FC3F3D">
              <w:rPr>
                <w:rFonts w:cstheme="minorHAnsi"/>
                <w:b/>
                <w:bCs/>
              </w:rPr>
              <w:t>(s)</w:t>
            </w:r>
          </w:p>
        </w:tc>
        <w:tc>
          <w:tcPr>
            <w:tcW w:w="7375" w:type="dxa"/>
          </w:tcPr>
          <w:p w14:paraId="6BAB2165" w14:textId="7921B0D7" w:rsidR="00B378B9" w:rsidRDefault="00B378B9" w:rsidP="009B52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</w:t>
            </w:r>
            <w:r w:rsidR="008F2D0B">
              <w:rPr>
                <w:rFonts w:cstheme="minorHAnsi"/>
                <w:b/>
                <w:bCs/>
              </w:rPr>
              <w:t>(s)</w:t>
            </w:r>
            <w:r>
              <w:rPr>
                <w:rFonts w:cstheme="minorHAnsi"/>
                <w:b/>
                <w:bCs/>
              </w:rPr>
              <w:t xml:space="preserve"> Due</w:t>
            </w:r>
          </w:p>
        </w:tc>
      </w:tr>
      <w:tr w:rsidR="00B378B9" w14:paraId="24D92961" w14:textId="77777777" w:rsidTr="00B378B9">
        <w:tc>
          <w:tcPr>
            <w:tcW w:w="1975" w:type="dxa"/>
          </w:tcPr>
          <w:p w14:paraId="1C0041A3" w14:textId="06AF1B6B" w:rsidR="00B378B9" w:rsidRPr="00B378B9" w:rsidRDefault="00B378B9" w:rsidP="009B527F">
            <w:pPr>
              <w:rPr>
                <w:rFonts w:cstheme="minorHAnsi"/>
                <w:bCs/>
              </w:rPr>
            </w:pPr>
            <w:r w:rsidRPr="00B378B9">
              <w:rPr>
                <w:rFonts w:cstheme="minorHAnsi"/>
                <w:bCs/>
              </w:rPr>
              <w:t>No</w:t>
            </w:r>
            <w:r>
              <w:rPr>
                <w:rFonts w:cstheme="minorHAnsi"/>
                <w:bCs/>
              </w:rPr>
              <w:t>vember</w:t>
            </w:r>
            <w:r w:rsidR="00FC3F3D">
              <w:rPr>
                <w:rFonts w:cstheme="minorHAnsi"/>
                <w:bCs/>
              </w:rPr>
              <w:t xml:space="preserve"> - December</w:t>
            </w:r>
          </w:p>
        </w:tc>
        <w:tc>
          <w:tcPr>
            <w:tcW w:w="7375" w:type="dxa"/>
          </w:tcPr>
          <w:p w14:paraId="4E0176D6" w14:textId="10BC45C2" w:rsidR="00FC3F3D" w:rsidRDefault="00B378B9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Committee Chair and members appointed by PRN Chair</w:t>
            </w:r>
            <w:r w:rsidR="00322E36">
              <w:rPr>
                <w:rFonts w:cstheme="minorHAnsi"/>
                <w:bCs/>
              </w:rPr>
              <w:t>.</w:t>
            </w:r>
            <w:r w:rsidR="00FC3F3D">
              <w:rPr>
                <w:rFonts w:cstheme="minorHAnsi"/>
                <w:bCs/>
              </w:rPr>
              <w:t xml:space="preserve"> </w:t>
            </w:r>
          </w:p>
          <w:p w14:paraId="00BFE025" w14:textId="06BB9098" w:rsidR="00FC3F3D" w:rsidRDefault="00FC3F3D" w:rsidP="00FC3F3D">
            <w:pPr>
              <w:rPr>
                <w:rFonts w:cstheme="minorHAnsi"/>
                <w:bCs/>
              </w:rPr>
            </w:pPr>
          </w:p>
          <w:p w14:paraId="0FC11249" w14:textId="740F4A4D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Due November 30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FC3F3D">
              <w:rPr>
                <w:rFonts w:cstheme="minorHAnsi"/>
                <w:bCs/>
              </w:rPr>
              <w:t>Nominations</w:t>
            </w:r>
            <w:r>
              <w:rPr>
                <w:rFonts w:cstheme="minorHAnsi"/>
                <w:bCs/>
              </w:rPr>
              <w:t xml:space="preserve"> </w:t>
            </w:r>
            <w:r w:rsidRPr="00FC3F3D">
              <w:rPr>
                <w:rFonts w:cstheme="minorHAnsi"/>
                <w:bCs/>
              </w:rPr>
              <w:t xml:space="preserve">deadline for 2021 Clinical Practice, Education, and Russell R. Miller Awards; the Robert M. </w:t>
            </w:r>
            <w:proofErr w:type="spellStart"/>
            <w:r w:rsidRPr="00FC3F3D">
              <w:rPr>
                <w:rFonts w:cstheme="minorHAnsi"/>
                <w:bCs/>
              </w:rPr>
              <w:t>Elenbaas</w:t>
            </w:r>
            <w:proofErr w:type="spellEnd"/>
            <w:r w:rsidRPr="00FC3F3D">
              <w:rPr>
                <w:rFonts w:cstheme="minorHAnsi"/>
                <w:bCs/>
              </w:rPr>
              <w:t xml:space="preserve"> Service Award; the C. Edwin Webb Professional Advocacy Award; the 2022 Therapeutic Frontiers Lecture Award; and 20</w:t>
            </w:r>
            <w:r>
              <w:rPr>
                <w:rFonts w:cstheme="minorHAnsi"/>
                <w:bCs/>
              </w:rPr>
              <w:t>XX</w:t>
            </w:r>
            <w:r w:rsidRPr="00FC3F3D">
              <w:rPr>
                <w:rFonts w:cstheme="minorHAnsi"/>
                <w:bCs/>
              </w:rPr>
              <w:t xml:space="preserve"> elected offices</w:t>
            </w:r>
            <w:r>
              <w:rPr>
                <w:rFonts w:cstheme="minorHAnsi"/>
                <w:bCs/>
              </w:rPr>
              <w:t xml:space="preserve">. </w:t>
            </w:r>
            <w:r>
              <w:rPr>
                <w:rFonts w:cstheme="minorHAnsi"/>
                <w:bCs/>
              </w:rPr>
              <w:t xml:space="preserve">The nominations (but not the application materials themselves) for awards are due on November 30. </w:t>
            </w:r>
          </w:p>
          <w:p w14:paraId="64A6DDF3" w14:textId="347229C3" w:rsidR="00FC3F3D" w:rsidRPr="00FC3F3D" w:rsidRDefault="00FC3F3D" w:rsidP="00FC3F3D">
            <w:pPr>
              <w:rPr>
                <w:rFonts w:cstheme="minorHAnsi"/>
                <w:bCs/>
              </w:rPr>
            </w:pPr>
          </w:p>
          <w:p w14:paraId="69ED6A88" w14:textId="77777777" w:rsidR="00FC3F3D" w:rsidRDefault="00FC3F3D" w:rsidP="00FC3F3D">
            <w:pPr>
              <w:rPr>
                <w:rFonts w:cstheme="minorHAnsi"/>
                <w:bCs/>
              </w:rPr>
            </w:pPr>
          </w:p>
          <w:p w14:paraId="0E1C3A2D" w14:textId="6787BCB8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Committee identifies PRN members who may be eligible for</w:t>
            </w:r>
            <w:r>
              <w:rPr>
                <w:rFonts w:cstheme="minorHAnsi"/>
                <w:bCs/>
              </w:rPr>
              <w:t xml:space="preserve"> the above</w:t>
            </w:r>
            <w:r>
              <w:rPr>
                <w:rFonts w:cstheme="minorHAnsi"/>
                <w:bCs/>
              </w:rPr>
              <w:t xml:space="preserve"> ACCP </w:t>
            </w:r>
            <w:r w:rsidRPr="00B378B9">
              <w:rPr>
                <w:rFonts w:cstheme="minorHAnsi"/>
                <w:bCs/>
                <w:i/>
              </w:rPr>
              <w:t>Fall Awards</w:t>
            </w:r>
            <w:r>
              <w:rPr>
                <w:rFonts w:cstheme="minorHAnsi"/>
                <w:bCs/>
              </w:rPr>
              <w:t>.</w:t>
            </w:r>
          </w:p>
          <w:p w14:paraId="19C55766" w14:textId="77777777" w:rsidR="00FC3F3D" w:rsidRDefault="00FC3F3D" w:rsidP="00FC3F3D">
            <w:pPr>
              <w:rPr>
                <w:rFonts w:cstheme="minorHAnsi"/>
                <w:bCs/>
              </w:rPr>
            </w:pPr>
          </w:p>
          <w:p w14:paraId="4F2968D4" w14:textId="77777777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nominate a PRN member and view the nominations timeline:</w:t>
            </w:r>
          </w:p>
          <w:p w14:paraId="02A7685B" w14:textId="77777777" w:rsidR="00FC3F3D" w:rsidRDefault="00FC3F3D" w:rsidP="00FC3F3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Go to: www.accp.com</w:t>
            </w:r>
          </w:p>
          <w:p w14:paraId="6B5B2EA4" w14:textId="77777777" w:rsidR="00FC3F3D" w:rsidRDefault="00FC3F3D" w:rsidP="00FC3F3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Click on “Membership” header</w:t>
            </w:r>
          </w:p>
          <w:p w14:paraId="241943A4" w14:textId="77777777" w:rsidR="00FC3F3D" w:rsidRDefault="00FC3F3D" w:rsidP="00FC3F3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Click on “Nominations” link</w:t>
            </w:r>
          </w:p>
          <w:p w14:paraId="7844B0EF" w14:textId="77777777" w:rsidR="00FC3F3D" w:rsidRPr="008F2D0B" w:rsidRDefault="00FC3F3D" w:rsidP="00FC3F3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Click on “Submit a Nomination” link</w:t>
            </w:r>
          </w:p>
          <w:p w14:paraId="7E44B02A" w14:textId="0C30BA77" w:rsidR="00FC3F3D" w:rsidRPr="00322E36" w:rsidRDefault="00322E36" w:rsidP="00FC3F3D">
            <w:pPr>
              <w:rPr>
                <w:rFonts w:cstheme="minorHAnsi"/>
                <w:bCs/>
                <w:i/>
                <w:sz w:val="16"/>
              </w:rPr>
            </w:pPr>
            <w:r w:rsidRPr="00322E36">
              <w:rPr>
                <w:rFonts w:cstheme="minorHAnsi"/>
                <w:bCs/>
                <w:i/>
                <w:sz w:val="16"/>
              </w:rPr>
              <w:t>(</w:t>
            </w:r>
            <w:r w:rsidRPr="00322E36">
              <w:rPr>
                <w:rFonts w:cstheme="minorHAnsi"/>
                <w:bCs/>
                <w:i/>
                <w:sz w:val="16"/>
              </w:rPr>
              <w:t>Additional information may be accessed on the ACCP website.</w:t>
            </w:r>
            <w:r w:rsidRPr="00322E36">
              <w:rPr>
                <w:rFonts w:cstheme="minorHAnsi"/>
                <w:bCs/>
                <w:i/>
                <w:sz w:val="16"/>
              </w:rPr>
              <w:t>)</w:t>
            </w:r>
          </w:p>
          <w:p w14:paraId="4483101D" w14:textId="77777777" w:rsidR="00322E36" w:rsidRDefault="00322E36" w:rsidP="00FC3F3D">
            <w:pPr>
              <w:rPr>
                <w:rFonts w:cstheme="minorHAnsi"/>
                <w:bCs/>
              </w:rPr>
            </w:pPr>
          </w:p>
          <w:p w14:paraId="2C273877" w14:textId="77777777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previous year’s Workforce &amp; Strategic Committee should communicate with the incoming Committee Chair in Oct/Nov to discuss PRN members that were identified as candidates during the previous year (to facilitate timely submissions for a November due date).</w:t>
            </w:r>
          </w:p>
          <w:p w14:paraId="50E2B8D2" w14:textId="21CC7B86" w:rsidR="00B378B9" w:rsidRPr="00B378B9" w:rsidRDefault="00B378B9" w:rsidP="009B527F">
            <w:pPr>
              <w:rPr>
                <w:rFonts w:cstheme="minorHAnsi"/>
                <w:bCs/>
              </w:rPr>
            </w:pPr>
          </w:p>
        </w:tc>
      </w:tr>
      <w:tr w:rsidR="00B378B9" w14:paraId="179873ED" w14:textId="77777777" w:rsidTr="00B378B9">
        <w:tc>
          <w:tcPr>
            <w:tcW w:w="1975" w:type="dxa"/>
          </w:tcPr>
          <w:p w14:paraId="3FEA90F3" w14:textId="3BF3646A" w:rsidR="00B378B9" w:rsidRPr="00B378B9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January</w:t>
            </w:r>
            <w:r w:rsidR="00FC3F3D">
              <w:rPr>
                <w:rFonts w:cstheme="minorHAnsi"/>
                <w:bCs/>
              </w:rPr>
              <w:t xml:space="preserve"> - February</w:t>
            </w:r>
          </w:p>
        </w:tc>
        <w:tc>
          <w:tcPr>
            <w:tcW w:w="7375" w:type="dxa"/>
          </w:tcPr>
          <w:p w14:paraId="5A10857E" w14:textId="1948A205" w:rsidR="00B378B9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PRN members who have been nominated for a Fall Award (above) must submit their documentation by February 1. </w:t>
            </w:r>
          </w:p>
          <w:p w14:paraId="127C692B" w14:textId="5922FA3C" w:rsidR="00FC3F3D" w:rsidRDefault="00FC3F3D" w:rsidP="009B527F">
            <w:pPr>
              <w:rPr>
                <w:rFonts w:cstheme="minorHAnsi"/>
                <w:bCs/>
              </w:rPr>
            </w:pPr>
          </w:p>
          <w:p w14:paraId="2DE6A7C4" w14:textId="09A26D9A" w:rsidR="00FC3F3D" w:rsidRPr="00FC3F3D" w:rsidRDefault="00FC3F3D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>Due February 15</w:t>
            </w:r>
            <w:r>
              <w:rPr>
                <w:rFonts w:cstheme="minorHAnsi"/>
                <w:b/>
                <w:bCs/>
              </w:rPr>
              <w:t xml:space="preserve">: </w:t>
            </w:r>
            <w:r w:rsidRPr="00FC3F3D">
              <w:rPr>
                <w:rFonts w:cstheme="minorHAnsi"/>
                <w:bCs/>
              </w:rPr>
              <w:t>Nominations deadline for 2021 ACCP Fellows (FCCP), the 2021 Parker Medal, and the 2021 New Clinical Practitioner, New Educator, and New Investigator Awards.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The nominations (but not the application materials themselves) for awards are due by mid-February.</w:t>
            </w:r>
          </w:p>
          <w:p w14:paraId="7EC47B15" w14:textId="77777777" w:rsidR="00FC3F3D" w:rsidRDefault="00FC3F3D" w:rsidP="009B527F">
            <w:pPr>
              <w:rPr>
                <w:rFonts w:cstheme="minorHAnsi"/>
                <w:bCs/>
              </w:rPr>
            </w:pPr>
          </w:p>
          <w:p w14:paraId="1ADCCD6B" w14:textId="4B2A481D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Committee identifies and nominates PRN members who may be eligible for </w:t>
            </w:r>
            <w:r>
              <w:rPr>
                <w:rFonts w:cstheme="minorHAnsi"/>
                <w:bCs/>
              </w:rPr>
              <w:t xml:space="preserve">above </w:t>
            </w:r>
            <w:r>
              <w:rPr>
                <w:rFonts w:cstheme="minorHAnsi"/>
                <w:bCs/>
              </w:rPr>
              <w:t xml:space="preserve">ACCP </w:t>
            </w:r>
            <w:r>
              <w:rPr>
                <w:rFonts w:cstheme="minorHAnsi"/>
                <w:bCs/>
                <w:i/>
              </w:rPr>
              <w:t>Spring Awards</w:t>
            </w:r>
            <w:r>
              <w:rPr>
                <w:rFonts w:cstheme="minorHAnsi"/>
                <w:bCs/>
              </w:rPr>
              <w:t>.</w:t>
            </w:r>
          </w:p>
          <w:p w14:paraId="45D7ECA0" w14:textId="77777777" w:rsidR="00FC3F3D" w:rsidRDefault="00FC3F3D" w:rsidP="00FC3F3D">
            <w:pPr>
              <w:rPr>
                <w:rFonts w:cstheme="minorHAnsi"/>
                <w:bCs/>
              </w:rPr>
            </w:pPr>
          </w:p>
          <w:p w14:paraId="079D8FD1" w14:textId="77777777" w:rsidR="00FC3F3D" w:rsidRDefault="00FC3F3D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Nominations for fellowship within ACCP (i.e. FCCP) must also be submitted per the above timelines.</w:t>
            </w:r>
          </w:p>
          <w:p w14:paraId="24C7947E" w14:textId="24C9500B" w:rsidR="008F2D0B" w:rsidRPr="00B378B9" w:rsidRDefault="008F2D0B" w:rsidP="009B527F">
            <w:pPr>
              <w:rPr>
                <w:rFonts w:cstheme="minorHAnsi"/>
                <w:bCs/>
              </w:rPr>
            </w:pPr>
          </w:p>
        </w:tc>
      </w:tr>
      <w:tr w:rsidR="00B378B9" w14:paraId="4955D65A" w14:textId="77777777" w:rsidTr="00B378B9">
        <w:tc>
          <w:tcPr>
            <w:tcW w:w="1975" w:type="dxa"/>
          </w:tcPr>
          <w:p w14:paraId="2F496B50" w14:textId="50274AF3" w:rsidR="00B378B9" w:rsidRPr="00B378B9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March</w:t>
            </w:r>
          </w:p>
        </w:tc>
        <w:tc>
          <w:tcPr>
            <w:tcW w:w="7375" w:type="dxa"/>
          </w:tcPr>
          <w:p w14:paraId="016ACF67" w14:textId="77777777" w:rsidR="00B378B9" w:rsidRDefault="003D43C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ACCP PRN Spring Report due beginning of March</w:t>
            </w:r>
            <w:r w:rsidR="004B6B46">
              <w:rPr>
                <w:rFonts w:cstheme="minorHAnsi"/>
                <w:bCs/>
              </w:rPr>
              <w:t>.</w:t>
            </w:r>
          </w:p>
          <w:p w14:paraId="2EA6A006" w14:textId="0567FD3D" w:rsidR="004B6B46" w:rsidRPr="00B378B9" w:rsidRDefault="004B6B46" w:rsidP="009B527F">
            <w:pPr>
              <w:rPr>
                <w:rFonts w:cstheme="minorHAnsi"/>
                <w:bCs/>
              </w:rPr>
            </w:pPr>
          </w:p>
        </w:tc>
      </w:tr>
      <w:tr w:rsidR="00B378B9" w14:paraId="1289198B" w14:textId="77777777" w:rsidTr="00B378B9">
        <w:tc>
          <w:tcPr>
            <w:tcW w:w="1975" w:type="dxa"/>
          </w:tcPr>
          <w:p w14:paraId="7D0D222B" w14:textId="225282B0" w:rsidR="00B378B9" w:rsidRPr="00B378B9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April</w:t>
            </w:r>
          </w:p>
        </w:tc>
        <w:tc>
          <w:tcPr>
            <w:tcW w:w="7375" w:type="dxa"/>
          </w:tcPr>
          <w:p w14:paraId="4FDAAB19" w14:textId="77777777" w:rsidR="00322E36" w:rsidRDefault="00322E36" w:rsidP="00322E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PRN members who have been nominated for a Spring Award (above) must submit their documentation by April 1. </w:t>
            </w:r>
          </w:p>
          <w:p w14:paraId="22346A31" w14:textId="77777777" w:rsidR="00322E36" w:rsidRDefault="00322E36" w:rsidP="009B527F">
            <w:pPr>
              <w:rPr>
                <w:rFonts w:cstheme="minorHAnsi"/>
                <w:bCs/>
              </w:rPr>
            </w:pPr>
          </w:p>
          <w:p w14:paraId="5E7F6E0F" w14:textId="7271462A" w:rsidR="00B378B9" w:rsidRDefault="00322E36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Solicit</w:t>
            </w:r>
            <w:r w:rsidR="000B720E">
              <w:rPr>
                <w:rFonts w:cstheme="minorHAnsi"/>
                <w:bCs/>
              </w:rPr>
              <w:t xml:space="preserve"> nominations for PRN Officers (e.g. vice chair, secretary-treasurer, etc.)</w:t>
            </w:r>
          </w:p>
          <w:p w14:paraId="7BE4C5E7" w14:textId="138E8B37" w:rsidR="004B6B46" w:rsidRPr="00B378B9" w:rsidRDefault="004B6B46" w:rsidP="009B527F">
            <w:pPr>
              <w:rPr>
                <w:rFonts w:cstheme="minorHAnsi"/>
                <w:bCs/>
              </w:rPr>
            </w:pPr>
          </w:p>
        </w:tc>
      </w:tr>
      <w:tr w:rsidR="00B378B9" w14:paraId="62A48EB3" w14:textId="77777777" w:rsidTr="00B378B9">
        <w:tc>
          <w:tcPr>
            <w:tcW w:w="1975" w:type="dxa"/>
          </w:tcPr>
          <w:p w14:paraId="30A5AF41" w14:textId="207374B0" w:rsidR="00B378B9" w:rsidRPr="00B378B9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May</w:t>
            </w:r>
            <w:r w:rsidR="00FC3F3D">
              <w:rPr>
                <w:rFonts w:cstheme="minorHAnsi"/>
                <w:bCs/>
              </w:rPr>
              <w:t xml:space="preserve"> – September </w:t>
            </w:r>
          </w:p>
        </w:tc>
        <w:tc>
          <w:tcPr>
            <w:tcW w:w="7375" w:type="dxa"/>
          </w:tcPr>
          <w:p w14:paraId="6A08AAE2" w14:textId="14CA1DC9" w:rsidR="00FC3F3D" w:rsidRDefault="00322E36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Due </w:t>
            </w:r>
            <w:r w:rsidR="00FC3F3D" w:rsidRPr="00FC3F3D">
              <w:rPr>
                <w:rFonts w:cstheme="minorHAnsi"/>
                <w:b/>
                <w:bCs/>
                <w:u w:val="single"/>
              </w:rPr>
              <w:t>May 28</w:t>
            </w:r>
            <w:r w:rsidR="00FC3F3D">
              <w:rPr>
                <w:rFonts w:cstheme="minorHAnsi"/>
                <w:bCs/>
              </w:rPr>
              <w:t>: Business Meeting and Networking Forums (for ACCP Annual Meeting in October) application is due to ACCP</w:t>
            </w:r>
            <w:r>
              <w:rPr>
                <w:rFonts w:cstheme="minorHAnsi"/>
                <w:bCs/>
              </w:rPr>
              <w:t>.</w:t>
            </w:r>
          </w:p>
          <w:p w14:paraId="1EF18DF2" w14:textId="33DF47C5" w:rsidR="00FC3F3D" w:rsidRDefault="00FC3F3D" w:rsidP="00FC3F3D">
            <w:pPr>
              <w:rPr>
                <w:rFonts w:cstheme="minorHAnsi"/>
                <w:bCs/>
              </w:rPr>
            </w:pPr>
          </w:p>
          <w:p w14:paraId="17D115A7" w14:textId="5944A73C" w:rsidR="00FC3F3D" w:rsidRDefault="00322E36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Due </w:t>
            </w:r>
            <w:r w:rsidR="00FC3F3D" w:rsidRPr="00FC3F3D">
              <w:rPr>
                <w:rFonts w:cstheme="minorHAnsi"/>
                <w:b/>
                <w:bCs/>
                <w:u w:val="single"/>
              </w:rPr>
              <w:t>June 4</w:t>
            </w:r>
            <w:r w:rsidR="00FC3F3D">
              <w:rPr>
                <w:rFonts w:cstheme="minorHAnsi"/>
                <w:bCs/>
              </w:rPr>
              <w:t>: Final slate for PRN elections must be submitted to ACCP</w:t>
            </w:r>
            <w:r>
              <w:rPr>
                <w:rFonts w:cstheme="minorHAnsi"/>
                <w:bCs/>
              </w:rPr>
              <w:t>.</w:t>
            </w:r>
          </w:p>
          <w:p w14:paraId="0D517DFF" w14:textId="77777777" w:rsidR="00FC3F3D" w:rsidRDefault="00FC3F3D" w:rsidP="00FC3F3D">
            <w:pPr>
              <w:rPr>
                <w:rFonts w:cstheme="minorHAnsi"/>
                <w:bCs/>
              </w:rPr>
            </w:pPr>
          </w:p>
          <w:p w14:paraId="1EB8FFE1" w14:textId="28402DD8" w:rsidR="004B6B46" w:rsidRDefault="00322E36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ACCP PRN Summer Report due beginning of August.</w:t>
            </w:r>
          </w:p>
          <w:p w14:paraId="412B7B6E" w14:textId="77777777" w:rsidR="00322E36" w:rsidRPr="00322E36" w:rsidRDefault="00322E36" w:rsidP="00FC3F3D">
            <w:pPr>
              <w:rPr>
                <w:rFonts w:cstheme="minorHAnsi"/>
                <w:bCs/>
              </w:rPr>
            </w:pPr>
            <w:bookmarkStart w:id="0" w:name="_GoBack"/>
            <w:bookmarkEnd w:id="0"/>
          </w:p>
          <w:p w14:paraId="5587AC6F" w14:textId="6D96F89B" w:rsidR="004B6B46" w:rsidRPr="004B6B46" w:rsidRDefault="004B6B46" w:rsidP="00FC3F3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</w:rPr>
              <w:t>Longitudinal</w:t>
            </w:r>
            <w:r>
              <w:rPr>
                <w:rFonts w:cstheme="minorHAnsi"/>
                <w:bCs/>
              </w:rPr>
              <w:t xml:space="preserve">: Workforce &amp; Strategic </w:t>
            </w:r>
            <w:r w:rsidRPr="004B6B46">
              <w:rPr>
                <w:rFonts w:cstheme="minorHAnsi"/>
                <w:bCs/>
              </w:rPr>
              <w:t>Committee reviews all documents and policies and, if necessary, makes relevant revisions. Major revisions to documents and policies must be approved by the PRN Officers.</w:t>
            </w:r>
          </w:p>
          <w:p w14:paraId="5F412E92" w14:textId="356FC5DB" w:rsidR="00FC3F3D" w:rsidRPr="00B378B9" w:rsidRDefault="00FC3F3D" w:rsidP="00FC3F3D">
            <w:pPr>
              <w:rPr>
                <w:rFonts w:cstheme="minorHAnsi"/>
                <w:bCs/>
              </w:rPr>
            </w:pPr>
          </w:p>
        </w:tc>
      </w:tr>
      <w:tr w:rsidR="008F2D0B" w14:paraId="2581115A" w14:textId="77777777" w:rsidTr="00B378B9">
        <w:tc>
          <w:tcPr>
            <w:tcW w:w="1975" w:type="dxa"/>
          </w:tcPr>
          <w:p w14:paraId="6356B29B" w14:textId="7A73FEBA" w:rsidR="008F2D0B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October</w:t>
            </w:r>
          </w:p>
        </w:tc>
        <w:tc>
          <w:tcPr>
            <w:tcW w:w="7375" w:type="dxa"/>
          </w:tcPr>
          <w:p w14:paraId="6D926F3F" w14:textId="77777777" w:rsidR="008F2D0B" w:rsidRDefault="008F2D0B" w:rsidP="009B527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ACCP Annual Meeting</w:t>
            </w:r>
          </w:p>
          <w:p w14:paraId="100EDEAB" w14:textId="6A30CF6D" w:rsidR="004B6B46" w:rsidRPr="00B378B9" w:rsidRDefault="004B6B46" w:rsidP="009B527F">
            <w:pPr>
              <w:rPr>
                <w:rFonts w:cstheme="minorHAnsi"/>
                <w:bCs/>
              </w:rPr>
            </w:pPr>
          </w:p>
        </w:tc>
      </w:tr>
    </w:tbl>
    <w:p w14:paraId="18FCEA19" w14:textId="77777777" w:rsidR="00B378B9" w:rsidRPr="00B378B9" w:rsidRDefault="00B378B9" w:rsidP="009B527F">
      <w:pPr>
        <w:rPr>
          <w:rFonts w:cstheme="minorHAnsi"/>
          <w:b/>
          <w:bCs/>
        </w:rPr>
      </w:pPr>
    </w:p>
    <w:sectPr w:rsidR="00B378B9" w:rsidRPr="00B378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5655" w16cex:dateUtc="2021-02-25T23:01:00Z"/>
  <w16cex:commentExtensible w16cex:durableId="23E7392A" w16cex:dateUtc="2021-03-01T15:58:00Z"/>
  <w16cex:commentExtensible w16cex:durableId="23E25768" w16cex:dateUtc="2021-02-25T23:05:00Z"/>
  <w16cex:commentExtensible w16cex:durableId="23E73E37" w16cex:dateUtc="2021-03-01T16:19:00Z"/>
  <w16cex:commentExtensible w16cex:durableId="23E73EE5" w16cex:dateUtc="2021-03-01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1CCD" w14:textId="77777777" w:rsidR="0051331A" w:rsidRDefault="0051331A" w:rsidP="00E04927">
      <w:pPr>
        <w:spacing w:after="0" w:line="240" w:lineRule="auto"/>
      </w:pPr>
      <w:r>
        <w:separator/>
      </w:r>
    </w:p>
  </w:endnote>
  <w:endnote w:type="continuationSeparator" w:id="0">
    <w:p w14:paraId="5D69AD5C" w14:textId="77777777" w:rsidR="0051331A" w:rsidRDefault="0051331A" w:rsidP="00E0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8907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B1C089" w14:textId="30BD7B0A" w:rsidR="00503691" w:rsidRDefault="005036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D30CE" w14:textId="7E3AF544" w:rsidR="00505C84" w:rsidRDefault="00503691" w:rsidP="00503691">
    <w:pPr>
      <w:pStyle w:val="Footer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3E5B" w14:textId="77777777" w:rsidR="0051331A" w:rsidRDefault="0051331A" w:rsidP="00E04927">
      <w:pPr>
        <w:spacing w:after="0" w:line="240" w:lineRule="auto"/>
      </w:pPr>
      <w:r>
        <w:separator/>
      </w:r>
    </w:p>
  </w:footnote>
  <w:footnote w:type="continuationSeparator" w:id="0">
    <w:p w14:paraId="6443A8EE" w14:textId="77777777" w:rsidR="0051331A" w:rsidRDefault="0051331A" w:rsidP="00E0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124"/>
    <w:multiLevelType w:val="hybridMultilevel"/>
    <w:tmpl w:val="EA08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34C0F"/>
    <w:multiLevelType w:val="multilevel"/>
    <w:tmpl w:val="2318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500AE"/>
    <w:multiLevelType w:val="multilevel"/>
    <w:tmpl w:val="6D9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51A4E"/>
    <w:multiLevelType w:val="hybridMultilevel"/>
    <w:tmpl w:val="A8F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48A"/>
    <w:multiLevelType w:val="multilevel"/>
    <w:tmpl w:val="DF1AA024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720" w:firstLine="1080"/>
      </w:pPr>
    </w:lvl>
    <w:lvl w:ilvl="2">
      <w:start w:val="1"/>
      <w:numFmt w:val="lowerLetter"/>
      <w:lvlText w:val="%3."/>
      <w:lvlJc w:val="left"/>
      <w:pPr>
        <w:ind w:left="-1260" w:firstLine="1980"/>
      </w:pPr>
    </w:lvl>
    <w:lvl w:ilvl="3">
      <w:start w:val="1"/>
      <w:numFmt w:val="lowerRoman"/>
      <w:lvlText w:val="%4."/>
      <w:lvlJc w:val="right"/>
      <w:pPr>
        <w:ind w:left="-117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-18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 w15:restartNumberingAfterBreak="0">
    <w:nsid w:val="20DF3A0F"/>
    <w:multiLevelType w:val="hybridMultilevel"/>
    <w:tmpl w:val="1C9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1A17"/>
    <w:multiLevelType w:val="hybridMultilevel"/>
    <w:tmpl w:val="42FC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B129F"/>
    <w:multiLevelType w:val="hybridMultilevel"/>
    <w:tmpl w:val="18C4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3D7"/>
    <w:multiLevelType w:val="hybridMultilevel"/>
    <w:tmpl w:val="A2540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55D92"/>
    <w:multiLevelType w:val="multilevel"/>
    <w:tmpl w:val="D4C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A78AF"/>
    <w:multiLevelType w:val="hybridMultilevel"/>
    <w:tmpl w:val="58C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C65"/>
    <w:multiLevelType w:val="multilevel"/>
    <w:tmpl w:val="4930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C730D"/>
    <w:multiLevelType w:val="hybridMultilevel"/>
    <w:tmpl w:val="1DAC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E3889"/>
    <w:multiLevelType w:val="hybridMultilevel"/>
    <w:tmpl w:val="601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C2D6C"/>
    <w:multiLevelType w:val="multilevel"/>
    <w:tmpl w:val="A95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C25F61"/>
    <w:multiLevelType w:val="multilevel"/>
    <w:tmpl w:val="A420D528"/>
    <w:lvl w:ilvl="0">
      <w:start w:val="1"/>
      <w:numFmt w:val="decimal"/>
      <w:lvlText w:val="%1."/>
      <w:lvlJc w:val="left"/>
      <w:pPr>
        <w:ind w:left="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720" w:firstLine="1080"/>
      </w:pPr>
    </w:lvl>
    <w:lvl w:ilvl="2">
      <w:start w:val="1"/>
      <w:numFmt w:val="lowerRoman"/>
      <w:lvlText w:val="%3."/>
      <w:lvlJc w:val="right"/>
      <w:pPr>
        <w:ind w:left="-108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6" w15:restartNumberingAfterBreak="0">
    <w:nsid w:val="3B3A4EAC"/>
    <w:multiLevelType w:val="hybridMultilevel"/>
    <w:tmpl w:val="24400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69E8"/>
    <w:multiLevelType w:val="multilevel"/>
    <w:tmpl w:val="4CA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D37AE"/>
    <w:multiLevelType w:val="multilevel"/>
    <w:tmpl w:val="7596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727CC"/>
    <w:multiLevelType w:val="multilevel"/>
    <w:tmpl w:val="097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8D05E8"/>
    <w:multiLevelType w:val="hybridMultilevel"/>
    <w:tmpl w:val="9A6E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0664C"/>
    <w:multiLevelType w:val="hybridMultilevel"/>
    <w:tmpl w:val="6DC22C90"/>
    <w:lvl w:ilvl="0" w:tplc="D91A441E">
      <w:start w:val="1"/>
      <w:numFmt w:val="decimal"/>
      <w:lvlText w:val="%1."/>
      <w:lvlJc w:val="left"/>
      <w:pPr>
        <w:ind w:left="3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A49C7B58">
      <w:start w:val="1"/>
      <w:numFmt w:val="lowerLetter"/>
      <w:lvlText w:val="%2."/>
      <w:lvlJc w:val="left"/>
      <w:pPr>
        <w:ind w:left="108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4B3CC5B8">
      <w:start w:val="1"/>
      <w:numFmt w:val="lowerRoman"/>
      <w:lvlText w:val="%3."/>
      <w:lvlJc w:val="left"/>
      <w:pPr>
        <w:ind w:left="1799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C73272A2">
      <w:start w:val="1"/>
      <w:numFmt w:val="bullet"/>
      <w:lvlText w:val="•"/>
      <w:lvlJc w:val="left"/>
      <w:pPr>
        <w:ind w:left="1079" w:hanging="286"/>
      </w:pPr>
      <w:rPr>
        <w:rFonts w:hint="default"/>
      </w:rPr>
    </w:lvl>
    <w:lvl w:ilvl="4" w:tplc="096832A2">
      <w:start w:val="1"/>
      <w:numFmt w:val="bullet"/>
      <w:lvlText w:val="•"/>
      <w:lvlJc w:val="left"/>
      <w:pPr>
        <w:ind w:left="1079" w:hanging="286"/>
      </w:pPr>
      <w:rPr>
        <w:rFonts w:hint="default"/>
      </w:rPr>
    </w:lvl>
    <w:lvl w:ilvl="5" w:tplc="DDBE549C">
      <w:start w:val="1"/>
      <w:numFmt w:val="bullet"/>
      <w:lvlText w:val="•"/>
      <w:lvlJc w:val="left"/>
      <w:pPr>
        <w:ind w:left="1080" w:hanging="286"/>
      </w:pPr>
      <w:rPr>
        <w:rFonts w:hint="default"/>
      </w:rPr>
    </w:lvl>
    <w:lvl w:ilvl="6" w:tplc="37B69DE8">
      <w:start w:val="1"/>
      <w:numFmt w:val="bullet"/>
      <w:lvlText w:val="•"/>
      <w:lvlJc w:val="left"/>
      <w:pPr>
        <w:ind w:left="1098" w:hanging="286"/>
      </w:pPr>
      <w:rPr>
        <w:rFonts w:hint="default"/>
      </w:rPr>
    </w:lvl>
    <w:lvl w:ilvl="7" w:tplc="35B26EBA">
      <w:start w:val="1"/>
      <w:numFmt w:val="bullet"/>
      <w:lvlText w:val="•"/>
      <w:lvlJc w:val="left"/>
      <w:pPr>
        <w:ind w:left="1614" w:hanging="286"/>
      </w:pPr>
      <w:rPr>
        <w:rFonts w:hint="default"/>
      </w:rPr>
    </w:lvl>
    <w:lvl w:ilvl="8" w:tplc="6CD813D6">
      <w:start w:val="1"/>
      <w:numFmt w:val="bullet"/>
      <w:lvlText w:val="•"/>
      <w:lvlJc w:val="left"/>
      <w:pPr>
        <w:ind w:left="1614" w:hanging="286"/>
      </w:pPr>
      <w:rPr>
        <w:rFonts w:hint="default"/>
      </w:rPr>
    </w:lvl>
  </w:abstractNum>
  <w:abstractNum w:abstractNumId="22" w15:restartNumberingAfterBreak="0">
    <w:nsid w:val="468F1298"/>
    <w:multiLevelType w:val="hybridMultilevel"/>
    <w:tmpl w:val="38A2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1598C"/>
    <w:multiLevelType w:val="multilevel"/>
    <w:tmpl w:val="11A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86BCE"/>
    <w:multiLevelType w:val="hybridMultilevel"/>
    <w:tmpl w:val="22C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C3A48"/>
    <w:multiLevelType w:val="hybridMultilevel"/>
    <w:tmpl w:val="5246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30FF"/>
    <w:multiLevelType w:val="multilevel"/>
    <w:tmpl w:val="A420D528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-180" w:firstLine="1080"/>
      </w:pPr>
    </w:lvl>
    <w:lvl w:ilvl="2">
      <w:start w:val="1"/>
      <w:numFmt w:val="lowerRoman"/>
      <w:lvlText w:val="%3."/>
      <w:lvlJc w:val="right"/>
      <w:pPr>
        <w:ind w:left="-3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87079FD"/>
    <w:multiLevelType w:val="multilevel"/>
    <w:tmpl w:val="4470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1503CC"/>
    <w:multiLevelType w:val="multilevel"/>
    <w:tmpl w:val="B79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477B9"/>
    <w:multiLevelType w:val="multilevel"/>
    <w:tmpl w:val="B270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9733E"/>
    <w:multiLevelType w:val="multilevel"/>
    <w:tmpl w:val="C86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F050F0"/>
    <w:multiLevelType w:val="hybridMultilevel"/>
    <w:tmpl w:val="BE4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D3DD9"/>
    <w:multiLevelType w:val="hybridMultilevel"/>
    <w:tmpl w:val="ED16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F6DFB"/>
    <w:multiLevelType w:val="hybridMultilevel"/>
    <w:tmpl w:val="FB5C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F2C05"/>
    <w:multiLevelType w:val="hybridMultilevel"/>
    <w:tmpl w:val="075C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15"/>
  </w:num>
  <w:num w:numId="5">
    <w:abstractNumId w:val="29"/>
  </w:num>
  <w:num w:numId="6">
    <w:abstractNumId w:val="14"/>
  </w:num>
  <w:num w:numId="7">
    <w:abstractNumId w:val="23"/>
  </w:num>
  <w:num w:numId="8">
    <w:abstractNumId w:val="9"/>
  </w:num>
  <w:num w:numId="9">
    <w:abstractNumId w:val="30"/>
  </w:num>
  <w:num w:numId="10">
    <w:abstractNumId w:val="19"/>
  </w:num>
  <w:num w:numId="11">
    <w:abstractNumId w:val="28"/>
  </w:num>
  <w:num w:numId="12">
    <w:abstractNumId w:val="18"/>
  </w:num>
  <w:num w:numId="13">
    <w:abstractNumId w:val="2"/>
  </w:num>
  <w:num w:numId="14">
    <w:abstractNumId w:val="1"/>
  </w:num>
  <w:num w:numId="15">
    <w:abstractNumId w:val="17"/>
  </w:num>
  <w:num w:numId="16">
    <w:abstractNumId w:val="27"/>
  </w:num>
  <w:num w:numId="17">
    <w:abstractNumId w:val="11"/>
  </w:num>
  <w:num w:numId="18">
    <w:abstractNumId w:val="16"/>
  </w:num>
  <w:num w:numId="19">
    <w:abstractNumId w:val="33"/>
  </w:num>
  <w:num w:numId="20">
    <w:abstractNumId w:val="5"/>
  </w:num>
  <w:num w:numId="21">
    <w:abstractNumId w:val="20"/>
  </w:num>
  <w:num w:numId="22">
    <w:abstractNumId w:val="6"/>
  </w:num>
  <w:num w:numId="23">
    <w:abstractNumId w:val="13"/>
  </w:num>
  <w:num w:numId="24">
    <w:abstractNumId w:val="32"/>
  </w:num>
  <w:num w:numId="25">
    <w:abstractNumId w:val="22"/>
  </w:num>
  <w:num w:numId="26">
    <w:abstractNumId w:val="3"/>
  </w:num>
  <w:num w:numId="27">
    <w:abstractNumId w:val="12"/>
  </w:num>
  <w:num w:numId="28">
    <w:abstractNumId w:val="7"/>
  </w:num>
  <w:num w:numId="29">
    <w:abstractNumId w:val="34"/>
  </w:num>
  <w:num w:numId="30">
    <w:abstractNumId w:val="0"/>
  </w:num>
  <w:num w:numId="31">
    <w:abstractNumId w:val="24"/>
  </w:num>
  <w:num w:numId="32">
    <w:abstractNumId w:val="2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92"/>
    <w:rsid w:val="00001735"/>
    <w:rsid w:val="00021F7C"/>
    <w:rsid w:val="00022AD1"/>
    <w:rsid w:val="00026974"/>
    <w:rsid w:val="000328EA"/>
    <w:rsid w:val="000474A5"/>
    <w:rsid w:val="000558BD"/>
    <w:rsid w:val="000A18DA"/>
    <w:rsid w:val="000A3409"/>
    <w:rsid w:val="000A4616"/>
    <w:rsid w:val="000B48EF"/>
    <w:rsid w:val="000B6425"/>
    <w:rsid w:val="000B720E"/>
    <w:rsid w:val="000C546A"/>
    <w:rsid w:val="000C67D6"/>
    <w:rsid w:val="000D3097"/>
    <w:rsid w:val="000D4AB9"/>
    <w:rsid w:val="000E6D8C"/>
    <w:rsid w:val="000F7AAF"/>
    <w:rsid w:val="00101215"/>
    <w:rsid w:val="001332CB"/>
    <w:rsid w:val="00140FAA"/>
    <w:rsid w:val="00143DAD"/>
    <w:rsid w:val="00147CC1"/>
    <w:rsid w:val="001522A5"/>
    <w:rsid w:val="00157905"/>
    <w:rsid w:val="00192B21"/>
    <w:rsid w:val="001930DF"/>
    <w:rsid w:val="001956EF"/>
    <w:rsid w:val="001B0A0B"/>
    <w:rsid w:val="001B4821"/>
    <w:rsid w:val="001B6A28"/>
    <w:rsid w:val="001C3CF5"/>
    <w:rsid w:val="001D15AF"/>
    <w:rsid w:val="001D39FE"/>
    <w:rsid w:val="001D4DDC"/>
    <w:rsid w:val="001D7A44"/>
    <w:rsid w:val="001E1170"/>
    <w:rsid w:val="001E6FF0"/>
    <w:rsid w:val="00202A76"/>
    <w:rsid w:val="00215B69"/>
    <w:rsid w:val="0022094F"/>
    <w:rsid w:val="00265633"/>
    <w:rsid w:val="002747D7"/>
    <w:rsid w:val="00286040"/>
    <w:rsid w:val="002B66BA"/>
    <w:rsid w:val="002B741A"/>
    <w:rsid w:val="002C0F54"/>
    <w:rsid w:val="002E1728"/>
    <w:rsid w:val="002E2F14"/>
    <w:rsid w:val="002E5D3D"/>
    <w:rsid w:val="002F2384"/>
    <w:rsid w:val="002F7889"/>
    <w:rsid w:val="0031152F"/>
    <w:rsid w:val="0031221E"/>
    <w:rsid w:val="00322E36"/>
    <w:rsid w:val="003361C3"/>
    <w:rsid w:val="00340453"/>
    <w:rsid w:val="00351A71"/>
    <w:rsid w:val="003540D3"/>
    <w:rsid w:val="00356318"/>
    <w:rsid w:val="0038238F"/>
    <w:rsid w:val="00385172"/>
    <w:rsid w:val="00393799"/>
    <w:rsid w:val="003A4D18"/>
    <w:rsid w:val="003A6EAD"/>
    <w:rsid w:val="003D43CB"/>
    <w:rsid w:val="003D6036"/>
    <w:rsid w:val="003D7B15"/>
    <w:rsid w:val="003E2E4F"/>
    <w:rsid w:val="004030E3"/>
    <w:rsid w:val="004228C3"/>
    <w:rsid w:val="004372B7"/>
    <w:rsid w:val="00453FF3"/>
    <w:rsid w:val="00460230"/>
    <w:rsid w:val="00465C84"/>
    <w:rsid w:val="00480F4E"/>
    <w:rsid w:val="004828D9"/>
    <w:rsid w:val="00486FE3"/>
    <w:rsid w:val="004946FE"/>
    <w:rsid w:val="004A28F6"/>
    <w:rsid w:val="004A2F65"/>
    <w:rsid w:val="004A566C"/>
    <w:rsid w:val="004B396F"/>
    <w:rsid w:val="004B6B46"/>
    <w:rsid w:val="004C502E"/>
    <w:rsid w:val="004E684D"/>
    <w:rsid w:val="00501C81"/>
    <w:rsid w:val="00503143"/>
    <w:rsid w:val="00503691"/>
    <w:rsid w:val="00505C84"/>
    <w:rsid w:val="0051331A"/>
    <w:rsid w:val="005140E0"/>
    <w:rsid w:val="00521D20"/>
    <w:rsid w:val="0054256E"/>
    <w:rsid w:val="005432FF"/>
    <w:rsid w:val="00557193"/>
    <w:rsid w:val="00576195"/>
    <w:rsid w:val="005A11D1"/>
    <w:rsid w:val="005A4283"/>
    <w:rsid w:val="005B4EC3"/>
    <w:rsid w:val="005B7DE2"/>
    <w:rsid w:val="005C0D09"/>
    <w:rsid w:val="005D299E"/>
    <w:rsid w:val="005D7317"/>
    <w:rsid w:val="005E54B2"/>
    <w:rsid w:val="005E65B8"/>
    <w:rsid w:val="005E75C2"/>
    <w:rsid w:val="005F5467"/>
    <w:rsid w:val="00600737"/>
    <w:rsid w:val="00612F2D"/>
    <w:rsid w:val="006350BF"/>
    <w:rsid w:val="00637B87"/>
    <w:rsid w:val="00640BF4"/>
    <w:rsid w:val="00651564"/>
    <w:rsid w:val="00664F8D"/>
    <w:rsid w:val="006659A3"/>
    <w:rsid w:val="00670C10"/>
    <w:rsid w:val="00674FE5"/>
    <w:rsid w:val="00677128"/>
    <w:rsid w:val="0069026B"/>
    <w:rsid w:val="00694643"/>
    <w:rsid w:val="006A1AE4"/>
    <w:rsid w:val="006A3C6B"/>
    <w:rsid w:val="006A4360"/>
    <w:rsid w:val="006A6819"/>
    <w:rsid w:val="006B0BEF"/>
    <w:rsid w:val="006B42F3"/>
    <w:rsid w:val="006B4B9D"/>
    <w:rsid w:val="006C1D69"/>
    <w:rsid w:val="006C4118"/>
    <w:rsid w:val="006C746C"/>
    <w:rsid w:val="006F0133"/>
    <w:rsid w:val="006F4585"/>
    <w:rsid w:val="006F5F0F"/>
    <w:rsid w:val="006F73E5"/>
    <w:rsid w:val="006F7A8F"/>
    <w:rsid w:val="00703758"/>
    <w:rsid w:val="00707C2D"/>
    <w:rsid w:val="007226FD"/>
    <w:rsid w:val="007366C8"/>
    <w:rsid w:val="0075268B"/>
    <w:rsid w:val="0075731D"/>
    <w:rsid w:val="007606C4"/>
    <w:rsid w:val="007620F0"/>
    <w:rsid w:val="00764892"/>
    <w:rsid w:val="00791C50"/>
    <w:rsid w:val="007B0CED"/>
    <w:rsid w:val="007C769F"/>
    <w:rsid w:val="007D5A9E"/>
    <w:rsid w:val="007F3E9E"/>
    <w:rsid w:val="007F4829"/>
    <w:rsid w:val="007F5322"/>
    <w:rsid w:val="008005D1"/>
    <w:rsid w:val="00800E0B"/>
    <w:rsid w:val="00825FA4"/>
    <w:rsid w:val="00833A61"/>
    <w:rsid w:val="00842B1A"/>
    <w:rsid w:val="00851488"/>
    <w:rsid w:val="008528A1"/>
    <w:rsid w:val="00853113"/>
    <w:rsid w:val="00870DE5"/>
    <w:rsid w:val="00884632"/>
    <w:rsid w:val="008B33D7"/>
    <w:rsid w:val="008C64EE"/>
    <w:rsid w:val="008D126D"/>
    <w:rsid w:val="008E47CF"/>
    <w:rsid w:val="008F2D0B"/>
    <w:rsid w:val="008F7F4C"/>
    <w:rsid w:val="00927669"/>
    <w:rsid w:val="0093079B"/>
    <w:rsid w:val="009430DE"/>
    <w:rsid w:val="00954CF4"/>
    <w:rsid w:val="00964A1F"/>
    <w:rsid w:val="009651E8"/>
    <w:rsid w:val="00966C7F"/>
    <w:rsid w:val="00973A5E"/>
    <w:rsid w:val="009753CD"/>
    <w:rsid w:val="009829FB"/>
    <w:rsid w:val="009A3496"/>
    <w:rsid w:val="009A4D2C"/>
    <w:rsid w:val="009B4470"/>
    <w:rsid w:val="009B527F"/>
    <w:rsid w:val="009C5239"/>
    <w:rsid w:val="009E1EC3"/>
    <w:rsid w:val="00A00F61"/>
    <w:rsid w:val="00A06BAE"/>
    <w:rsid w:val="00A07F39"/>
    <w:rsid w:val="00A11701"/>
    <w:rsid w:val="00A209C2"/>
    <w:rsid w:val="00A238B2"/>
    <w:rsid w:val="00A527F6"/>
    <w:rsid w:val="00A54747"/>
    <w:rsid w:val="00A5483A"/>
    <w:rsid w:val="00A65507"/>
    <w:rsid w:val="00A70C52"/>
    <w:rsid w:val="00A87DAC"/>
    <w:rsid w:val="00A917E6"/>
    <w:rsid w:val="00A95E8D"/>
    <w:rsid w:val="00AA000E"/>
    <w:rsid w:val="00AB32A6"/>
    <w:rsid w:val="00AB62FB"/>
    <w:rsid w:val="00AB7357"/>
    <w:rsid w:val="00AD7111"/>
    <w:rsid w:val="00AE3292"/>
    <w:rsid w:val="00AE70A7"/>
    <w:rsid w:val="00AF3298"/>
    <w:rsid w:val="00AF5665"/>
    <w:rsid w:val="00B06498"/>
    <w:rsid w:val="00B10868"/>
    <w:rsid w:val="00B17074"/>
    <w:rsid w:val="00B2659E"/>
    <w:rsid w:val="00B26D4B"/>
    <w:rsid w:val="00B32332"/>
    <w:rsid w:val="00B32651"/>
    <w:rsid w:val="00B378B9"/>
    <w:rsid w:val="00B50132"/>
    <w:rsid w:val="00B5595C"/>
    <w:rsid w:val="00B6162A"/>
    <w:rsid w:val="00B61DD1"/>
    <w:rsid w:val="00B93110"/>
    <w:rsid w:val="00BC06ED"/>
    <w:rsid w:val="00BE716F"/>
    <w:rsid w:val="00C127B6"/>
    <w:rsid w:val="00C144A6"/>
    <w:rsid w:val="00C315E6"/>
    <w:rsid w:val="00C4542A"/>
    <w:rsid w:val="00C460A4"/>
    <w:rsid w:val="00C5501A"/>
    <w:rsid w:val="00C63F7E"/>
    <w:rsid w:val="00C67970"/>
    <w:rsid w:val="00C721B1"/>
    <w:rsid w:val="00C72392"/>
    <w:rsid w:val="00C742AC"/>
    <w:rsid w:val="00C835BF"/>
    <w:rsid w:val="00C90E8A"/>
    <w:rsid w:val="00C978A2"/>
    <w:rsid w:val="00CA29A2"/>
    <w:rsid w:val="00CB5C77"/>
    <w:rsid w:val="00CC4C03"/>
    <w:rsid w:val="00CD343B"/>
    <w:rsid w:val="00D200F8"/>
    <w:rsid w:val="00D208D7"/>
    <w:rsid w:val="00D22D9F"/>
    <w:rsid w:val="00D348AA"/>
    <w:rsid w:val="00D356E3"/>
    <w:rsid w:val="00D3574C"/>
    <w:rsid w:val="00D508F3"/>
    <w:rsid w:val="00D71F7C"/>
    <w:rsid w:val="00D776C2"/>
    <w:rsid w:val="00DB0986"/>
    <w:rsid w:val="00DB3AD8"/>
    <w:rsid w:val="00DB5898"/>
    <w:rsid w:val="00E03AA7"/>
    <w:rsid w:val="00E04927"/>
    <w:rsid w:val="00E179D5"/>
    <w:rsid w:val="00E229E7"/>
    <w:rsid w:val="00E26F12"/>
    <w:rsid w:val="00E3548B"/>
    <w:rsid w:val="00E60A81"/>
    <w:rsid w:val="00E627C4"/>
    <w:rsid w:val="00E630ED"/>
    <w:rsid w:val="00E70C50"/>
    <w:rsid w:val="00E76BA4"/>
    <w:rsid w:val="00E90AA0"/>
    <w:rsid w:val="00E949AE"/>
    <w:rsid w:val="00E94B45"/>
    <w:rsid w:val="00E964C2"/>
    <w:rsid w:val="00EC2504"/>
    <w:rsid w:val="00EC25DB"/>
    <w:rsid w:val="00ED1BB4"/>
    <w:rsid w:val="00ED572E"/>
    <w:rsid w:val="00EE24E5"/>
    <w:rsid w:val="00EE2E95"/>
    <w:rsid w:val="00EE6CCC"/>
    <w:rsid w:val="00EF329C"/>
    <w:rsid w:val="00F02BDF"/>
    <w:rsid w:val="00F143B2"/>
    <w:rsid w:val="00F156FA"/>
    <w:rsid w:val="00F20D1F"/>
    <w:rsid w:val="00F2180E"/>
    <w:rsid w:val="00F2722D"/>
    <w:rsid w:val="00F4601F"/>
    <w:rsid w:val="00F466E4"/>
    <w:rsid w:val="00F47D20"/>
    <w:rsid w:val="00F508F9"/>
    <w:rsid w:val="00F540DB"/>
    <w:rsid w:val="00F6129E"/>
    <w:rsid w:val="00F72DF3"/>
    <w:rsid w:val="00F80F37"/>
    <w:rsid w:val="00F81E93"/>
    <w:rsid w:val="00F84687"/>
    <w:rsid w:val="00FA0403"/>
    <w:rsid w:val="00FA2CCF"/>
    <w:rsid w:val="00FC3F3D"/>
    <w:rsid w:val="00FD0772"/>
    <w:rsid w:val="00FD1877"/>
    <w:rsid w:val="00FE3A46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5F52C"/>
  <w15:chartTrackingRefBased/>
  <w15:docId w15:val="{7DF6C44B-4A80-4354-885B-AF3C4739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7C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7C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C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92"/>
    <w:pPr>
      <w:ind w:left="720"/>
      <w:contextualSpacing/>
    </w:pPr>
  </w:style>
  <w:style w:type="table" w:styleId="TableGrid">
    <w:name w:val="Table Grid"/>
    <w:basedOn w:val="TableNormal"/>
    <w:rsid w:val="0019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A7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C742AC"/>
  </w:style>
  <w:style w:type="character" w:styleId="Hyperlink">
    <w:name w:val="Hyperlink"/>
    <w:basedOn w:val="DefaultParagraphFont"/>
    <w:uiPriority w:val="99"/>
    <w:unhideWhenUsed/>
    <w:rsid w:val="009C52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54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47CF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47CF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47CF"/>
    <w:rPr>
      <w:rFonts w:ascii="Arial" w:eastAsiaTheme="majorEastAsia" w:hAnsi="Arial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E0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27"/>
  </w:style>
  <w:style w:type="paragraph" w:styleId="Footer">
    <w:name w:val="footer"/>
    <w:basedOn w:val="Normal"/>
    <w:link w:val="FooterChar"/>
    <w:uiPriority w:val="99"/>
    <w:unhideWhenUsed/>
    <w:rsid w:val="00E0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27"/>
  </w:style>
  <w:style w:type="paragraph" w:styleId="BodyText">
    <w:name w:val="Body Text"/>
    <w:basedOn w:val="Normal"/>
    <w:link w:val="BodyTextChar"/>
    <w:uiPriority w:val="1"/>
    <w:qFormat/>
    <w:rsid w:val="001D4DDC"/>
    <w:pPr>
      <w:widowControl w:val="0"/>
      <w:spacing w:after="0" w:line="240" w:lineRule="auto"/>
      <w:ind w:left="22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D4DDC"/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5036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F02C-BB51-4B02-984B-EC9CAC3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Wong</dc:creator>
  <cp:keywords/>
  <dc:description/>
  <cp:lastModifiedBy>Boylan, Paul M (HSC)</cp:lastModifiedBy>
  <cp:revision>6</cp:revision>
  <dcterms:created xsi:type="dcterms:W3CDTF">2021-03-01T16:29:00Z</dcterms:created>
  <dcterms:modified xsi:type="dcterms:W3CDTF">2021-03-04T16:07:00Z</dcterms:modified>
</cp:coreProperties>
</file>